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4312">
      <w:pPr>
        <w:pStyle w:val="Nadpis2"/>
        <w:spacing w:before="0" w:after="0" w:afterAutospacing="0" w:line="480" w:lineRule="atLeast"/>
        <w:divId w:val="731461266"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Informace o projektu:</w:t>
      </w:r>
    </w:p>
    <w:p w:rsidR="00000000" w:rsidRDefault="00494312">
      <w:pPr>
        <w:spacing w:line="480" w:lineRule="atLeast"/>
        <w:divId w:val="731461266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br/>
        <w:t xml:space="preserve">Výpočet a řízení rizik proveden na software </w:t>
      </w:r>
      <w:proofErr w:type="spellStart"/>
      <w:r>
        <w:rPr>
          <w:rFonts w:ascii="Tahoma" w:eastAsia="Times New Roman" w:hAnsi="Tahoma" w:cs="Tahoma"/>
          <w:sz w:val="19"/>
          <w:szCs w:val="19"/>
        </w:rPr>
        <w:t>hakelsoft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p ed.2</w:t>
      </w:r>
      <w:r>
        <w:rPr>
          <w:rFonts w:ascii="Tahoma" w:eastAsia="Times New Roman" w:hAnsi="Tahoma" w:cs="Tahoma"/>
          <w:sz w:val="19"/>
          <w:szCs w:val="19"/>
        </w:rPr>
        <w:br/>
        <w:t xml:space="preserve">9.12.2016 14:34:26 </w:t>
      </w:r>
    </w:p>
    <w:p w:rsidR="00000000" w:rsidRDefault="00494312">
      <w:pPr>
        <w:pStyle w:val="Nadpis3"/>
        <w:spacing w:line="480" w:lineRule="atLeast"/>
        <w:divId w:val="731461266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Stavba:</w:t>
      </w:r>
    </w:p>
    <w:p w:rsidR="00000000" w:rsidRDefault="00494312">
      <w:pPr>
        <w:pStyle w:val="FormtovanvHTML"/>
        <w:spacing w:line="480" w:lineRule="atLeast"/>
        <w:divId w:val="731461266"/>
      </w:pPr>
      <w:r>
        <w:t>Snížení energetické náročnosti budov</w:t>
      </w:r>
    </w:p>
    <w:p w:rsidR="00000000" w:rsidRDefault="00494312">
      <w:pPr>
        <w:pStyle w:val="FormtovanvHTML"/>
        <w:spacing w:line="480" w:lineRule="atLeast"/>
        <w:divId w:val="731461266"/>
      </w:pPr>
      <w:r>
        <w:t>v nemocnici Jičín</w:t>
      </w:r>
    </w:p>
    <w:p w:rsidR="00000000" w:rsidRDefault="00494312">
      <w:pPr>
        <w:pStyle w:val="FormtovanvHTML"/>
        <w:spacing w:line="480" w:lineRule="atLeast"/>
        <w:divId w:val="731461266"/>
      </w:pPr>
      <w:r>
        <w:t>objekt plicního oddělení</w:t>
      </w:r>
    </w:p>
    <w:p w:rsidR="00000000" w:rsidRDefault="00494312">
      <w:pPr>
        <w:pStyle w:val="Nadpis3"/>
        <w:spacing w:line="480" w:lineRule="atLeast"/>
        <w:divId w:val="731461266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Poznámky:</w:t>
      </w:r>
    </w:p>
    <w:p w:rsidR="00000000" w:rsidRDefault="00494312">
      <w:pPr>
        <w:pStyle w:val="FormtovanvHTML"/>
        <w:spacing w:line="480" w:lineRule="atLeast"/>
        <w:divId w:val="731461266"/>
      </w:pPr>
      <w:r>
        <w:t>Výpočet a řízení rizik R1 v souladu s ČSN EN 62 305 ed.2.</w:t>
      </w:r>
    </w:p>
    <w:p w:rsidR="00000000" w:rsidRDefault="00494312">
      <w:pPr>
        <w:pStyle w:val="FormtovanvHTML"/>
        <w:spacing w:line="480" w:lineRule="atLeast"/>
        <w:divId w:val="731461266"/>
      </w:pPr>
      <w:r>
        <w:t>Objekt je zařazen dle systému vnější ochrany před bleskem do třídy LPS III dle ČSN EN 62 305 ed.2.</w:t>
      </w:r>
    </w:p>
    <w:p w:rsidR="00000000" w:rsidRDefault="00494312">
      <w:pPr>
        <w:pStyle w:val="FormtovanvHTML"/>
        <w:spacing w:line="480" w:lineRule="atLeast"/>
        <w:divId w:val="731461266"/>
      </w:pPr>
      <w:r>
        <w:t>Výpočet a řízení rizik uvažuje s instalací vnější ochrany dle ČSN EN 62 305 ed.2 odpovídající LPS I</w:t>
      </w:r>
      <w:r>
        <w:t>II.</w:t>
      </w:r>
    </w:p>
    <w:p w:rsidR="00000000" w:rsidRDefault="00494312">
      <w:pPr>
        <w:pStyle w:val="FormtovanvHTML"/>
        <w:spacing w:line="480" w:lineRule="atLeast"/>
        <w:divId w:val="731461266"/>
      </w:pPr>
      <w:r>
        <w:t>Objekt je zařazen dle systému vnitřní ochrany před bleskem a přepětím do třídy LPL III + koordinovaná ochrana SPD dle ČSN EN 62 305 ed.2.</w:t>
      </w:r>
    </w:p>
    <w:p w:rsidR="00000000" w:rsidRDefault="00494312">
      <w:pPr>
        <w:pStyle w:val="FormtovanvHTML"/>
        <w:spacing w:line="480" w:lineRule="atLeast"/>
        <w:divId w:val="731461266"/>
      </w:pPr>
      <w:r>
        <w:t xml:space="preserve">Výpočet a řízení rizik uvažuje s instalací </w:t>
      </w:r>
      <w:proofErr w:type="gramStart"/>
      <w:r>
        <w:t>hasících</w:t>
      </w:r>
      <w:proofErr w:type="gramEnd"/>
      <w:r>
        <w:t xml:space="preserve"> přístrojů.</w:t>
      </w:r>
    </w:p>
    <w:p w:rsidR="00000000" w:rsidRDefault="00494312">
      <w:pPr>
        <w:pStyle w:val="FormtovanvHTML"/>
        <w:spacing w:line="480" w:lineRule="atLeast"/>
        <w:divId w:val="731461266"/>
      </w:pPr>
      <w:r>
        <w:t>Pro vnitřní ochranu je navržena ochrana SPD v soula</w:t>
      </w:r>
      <w:r>
        <w:t>du s ČSN EN 62 305 ed.2 a ČSN EN 61643-11 výrobce Hakel spol. s r.o.</w:t>
      </w:r>
    </w:p>
    <w:p w:rsidR="00000000" w:rsidRDefault="00494312">
      <w:pPr>
        <w:pStyle w:val="FormtovanvHTML"/>
        <w:spacing w:line="480" w:lineRule="atLeast"/>
        <w:divId w:val="731461266"/>
      </w:pPr>
      <w:r>
        <w:t>Vnější a vnitřní ochrana navržena v projektové dokumentaci.</w:t>
      </w:r>
    </w:p>
    <w:p w:rsidR="00000000" w:rsidRDefault="00494312">
      <w:pPr>
        <w:pStyle w:val="FormtovanvHTML"/>
        <w:spacing w:line="480" w:lineRule="atLeast"/>
        <w:divId w:val="731461266"/>
      </w:pPr>
      <w:r>
        <w:t>Výpočet je zpracován na základě níže uvedených vstupních hodnot, pokud tyto hodnoty nejsou správné nebo se změní, je provozovat</w:t>
      </w:r>
      <w:r>
        <w:t>el povinen nechat zpracovat výpočet nový!</w:t>
      </w:r>
    </w:p>
    <w:p w:rsidR="00000000" w:rsidRDefault="00494312">
      <w:pPr>
        <w:pStyle w:val="Nadpis3"/>
        <w:spacing w:line="480" w:lineRule="atLeast"/>
        <w:divId w:val="731461266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Stavba:</w:t>
      </w:r>
    </w:p>
    <w:p w:rsidR="00000000" w:rsidRDefault="00494312">
      <w:pPr>
        <w:spacing w:line="480" w:lineRule="atLeast"/>
        <w:divId w:val="731461266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Typ stavby: Nemocnice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Fonts w:ascii="Tahoma" w:eastAsia="Times New Roman" w:hAnsi="Tahoma" w:cs="Tahoma"/>
          <w:sz w:val="19"/>
          <w:szCs w:val="19"/>
        </w:rPr>
        <w:br/>
        <w:t>Sběrná plocha</w:t>
      </w:r>
      <w:r>
        <w:rPr>
          <w:rFonts w:ascii="Tahoma" w:eastAsia="Times New Roman" w:hAnsi="Tahoma" w:cs="Tahoma"/>
          <w:sz w:val="19"/>
          <w:szCs w:val="19"/>
        </w:rPr>
        <w:br/>
        <w:t>A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D</w:t>
      </w:r>
      <w:r>
        <w:rPr>
          <w:rFonts w:ascii="Tahoma" w:eastAsia="Times New Roman" w:hAnsi="Tahoma" w:cs="Tahoma"/>
          <w:sz w:val="19"/>
          <w:szCs w:val="19"/>
        </w:rPr>
        <w:t>: 3 777,771439425 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br/>
        <w:t>A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M</w:t>
      </w:r>
      <w:r>
        <w:rPr>
          <w:rFonts w:ascii="Tahoma" w:eastAsia="Times New Roman" w:hAnsi="Tahoma" w:cs="Tahoma"/>
          <w:sz w:val="19"/>
          <w:szCs w:val="19"/>
        </w:rPr>
        <w:t>: 811 418,1633974483 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br/>
        <w:t>délka L: 13,91 m</w:t>
      </w:r>
      <w:r>
        <w:rPr>
          <w:rFonts w:ascii="Tahoma" w:eastAsia="Times New Roman" w:hAnsi="Tahoma" w:cs="Tahoma"/>
          <w:sz w:val="19"/>
          <w:szCs w:val="19"/>
        </w:rPr>
        <w:br/>
        <w:t>šířka W: 12,11 m</w:t>
      </w:r>
      <w:r>
        <w:rPr>
          <w:rFonts w:ascii="Tahoma" w:eastAsia="Times New Roman" w:hAnsi="Tahoma" w:cs="Tahoma"/>
          <w:sz w:val="19"/>
          <w:szCs w:val="19"/>
        </w:rPr>
        <w:br/>
        <w:t>výška H: 8,87 m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Fonts w:ascii="Tahoma" w:eastAsia="Times New Roman" w:hAnsi="Tahoma" w:cs="Tahoma"/>
          <w:sz w:val="19"/>
          <w:szCs w:val="19"/>
        </w:rPr>
        <w:br/>
        <w:t xml:space="preserve">Činitel polohy: Osamocený objekt, žádné jiné objekty v sousedství 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Fonts w:ascii="Tahoma" w:eastAsia="Times New Roman" w:hAnsi="Tahoma" w:cs="Tahoma"/>
          <w:sz w:val="19"/>
          <w:szCs w:val="19"/>
        </w:rPr>
        <w:br/>
        <w:t>B</w:t>
      </w:r>
      <w:r>
        <w:rPr>
          <w:rFonts w:ascii="Tahoma" w:eastAsia="Times New Roman" w:hAnsi="Tahoma" w:cs="Tahoma"/>
          <w:sz w:val="19"/>
          <w:szCs w:val="19"/>
        </w:rPr>
        <w:t>ouřkové dny</w:t>
      </w:r>
      <w:r>
        <w:rPr>
          <w:rFonts w:ascii="Tahoma" w:eastAsia="Times New Roman" w:hAnsi="Tahoma" w:cs="Tahoma"/>
          <w:sz w:val="19"/>
          <w:szCs w:val="19"/>
        </w:rPr>
        <w:br/>
        <w:t>Počet bouřkových dnů: 40 za rok</w:t>
      </w:r>
      <w:r>
        <w:rPr>
          <w:rFonts w:ascii="Tahoma" w:eastAsia="Times New Roman" w:hAnsi="Tahoma" w:cs="Tahoma"/>
          <w:sz w:val="19"/>
          <w:szCs w:val="19"/>
        </w:rPr>
        <w:br/>
        <w:t>Hustota úderů blesků do země: 4 na km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t>  za rok</w:t>
      </w:r>
    </w:p>
    <w:p w:rsidR="00000000" w:rsidRDefault="00494312">
      <w:pPr>
        <w:pStyle w:val="Nadpis2"/>
        <w:spacing w:line="480" w:lineRule="atLeast"/>
        <w:divId w:val="731461266"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Řešení: Chráněná stavba</w:t>
      </w:r>
    </w:p>
    <w:p w:rsidR="00000000" w:rsidRDefault="00494312">
      <w:pPr>
        <w:pStyle w:val="Nadpis3"/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Vedení [S]</w:t>
      </w:r>
    </w:p>
    <w:p w:rsidR="00000000" w:rsidRDefault="00494312">
      <w:pPr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Druh vedení: Silové vedení</w:t>
      </w:r>
    </w:p>
    <w:p w:rsidR="00000000" w:rsidRDefault="00494312">
      <w:pPr>
        <w:pStyle w:val="Nadpis4"/>
        <w:spacing w:line="480" w:lineRule="atLeast"/>
        <w:divId w:val="210784643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Sekce</w:t>
      </w:r>
    </w:p>
    <w:p w:rsidR="00000000" w:rsidRDefault="00494312">
      <w:pPr>
        <w:spacing w:line="480" w:lineRule="atLeast"/>
        <w:divId w:val="1489129484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Kabelové vedení</w:t>
      </w:r>
      <w:r>
        <w:rPr>
          <w:rFonts w:ascii="Tahoma" w:eastAsia="Times New Roman" w:hAnsi="Tahoma" w:cs="Tahoma"/>
          <w:sz w:val="19"/>
          <w:szCs w:val="19"/>
        </w:rPr>
        <w:br/>
      </w:r>
      <w:proofErr w:type="spellStart"/>
      <w:r>
        <w:rPr>
          <w:rFonts w:ascii="Tahoma" w:eastAsia="Times New Roman" w:hAnsi="Tahoma" w:cs="Tahoma"/>
          <w:sz w:val="19"/>
          <w:szCs w:val="19"/>
        </w:rPr>
        <w:t>Rezistivita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půdy: 400 </w:t>
      </w:r>
      <w:proofErr w:type="spellStart"/>
      <w:r w:rsidR="00D13EEE">
        <w:rPr>
          <w:rFonts w:ascii="Tahoma" w:eastAsia="Times New Roman" w:hAnsi="Tahoma" w:cs="Tahoma"/>
          <w:sz w:val="19"/>
          <w:szCs w:val="19"/>
        </w:rPr>
        <w:t>Ω</w:t>
      </w:r>
      <w:r>
        <w:rPr>
          <w:rFonts w:ascii="Tahoma" w:eastAsia="Times New Roman" w:hAnsi="Tahoma" w:cs="Tahoma"/>
          <w:sz w:val="19"/>
          <w:szCs w:val="19"/>
        </w:rPr>
        <w:t>m</w:t>
      </w:r>
      <w:proofErr w:type="spellEnd"/>
      <w:r>
        <w:rPr>
          <w:rFonts w:ascii="Tahoma" w:eastAsia="Times New Roman" w:hAnsi="Tahoma" w:cs="Tahoma"/>
          <w:sz w:val="19"/>
          <w:szCs w:val="19"/>
        </w:rPr>
        <w:br/>
        <w:t>Délka sekce: 1 000 m</w:t>
      </w:r>
      <w:r>
        <w:rPr>
          <w:rFonts w:ascii="Tahoma" w:eastAsia="Times New Roman" w:hAnsi="Tahoma" w:cs="Tahoma"/>
          <w:sz w:val="19"/>
          <w:szCs w:val="19"/>
        </w:rPr>
        <w:br/>
        <w:t>Činitel prostředí: Městské (výška</w:t>
      </w:r>
      <w:r>
        <w:rPr>
          <w:rFonts w:ascii="Tahoma" w:eastAsia="Times New Roman" w:hAnsi="Tahoma" w:cs="Tahoma"/>
          <w:sz w:val="19"/>
          <w:szCs w:val="19"/>
        </w:rPr>
        <w:t xml:space="preserve"> budov 10 až 20 m) </w:t>
      </w:r>
    </w:p>
    <w:p w:rsidR="00000000" w:rsidRDefault="00494312">
      <w:pPr>
        <w:pStyle w:val="Nadpis3"/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Vedení [T]</w:t>
      </w:r>
    </w:p>
    <w:p w:rsidR="00000000" w:rsidRDefault="00494312">
      <w:pPr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Druh vedení: Telekomunikační nebo datové vedení</w:t>
      </w:r>
    </w:p>
    <w:p w:rsidR="00000000" w:rsidRDefault="00494312">
      <w:pPr>
        <w:pStyle w:val="Nadpis4"/>
        <w:spacing w:line="480" w:lineRule="atLeast"/>
        <w:divId w:val="210784643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Sekce</w:t>
      </w:r>
    </w:p>
    <w:p w:rsidR="00000000" w:rsidRDefault="00494312">
      <w:pPr>
        <w:spacing w:line="480" w:lineRule="atLeast"/>
        <w:divId w:val="208304523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Kabelové vedení</w:t>
      </w:r>
      <w:r>
        <w:rPr>
          <w:rFonts w:ascii="Tahoma" w:eastAsia="Times New Roman" w:hAnsi="Tahoma" w:cs="Tahoma"/>
          <w:sz w:val="19"/>
          <w:szCs w:val="19"/>
        </w:rPr>
        <w:br/>
      </w:r>
      <w:proofErr w:type="spellStart"/>
      <w:r>
        <w:rPr>
          <w:rFonts w:ascii="Tahoma" w:eastAsia="Times New Roman" w:hAnsi="Tahoma" w:cs="Tahoma"/>
          <w:sz w:val="19"/>
          <w:szCs w:val="19"/>
        </w:rPr>
        <w:t>Rezistivita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půdy: 400 </w:t>
      </w:r>
      <w:proofErr w:type="spellStart"/>
      <w:r w:rsidR="00D13EEE">
        <w:rPr>
          <w:rFonts w:ascii="Tahoma" w:eastAsia="Times New Roman" w:hAnsi="Tahoma" w:cs="Tahoma"/>
          <w:sz w:val="19"/>
          <w:szCs w:val="19"/>
        </w:rPr>
        <w:t>Ω</w:t>
      </w:r>
      <w:r>
        <w:rPr>
          <w:rFonts w:ascii="Tahoma" w:eastAsia="Times New Roman" w:hAnsi="Tahoma" w:cs="Tahoma"/>
          <w:sz w:val="19"/>
          <w:szCs w:val="19"/>
        </w:rPr>
        <w:t>m</w:t>
      </w:r>
      <w:proofErr w:type="spellEnd"/>
      <w:r>
        <w:rPr>
          <w:rFonts w:ascii="Tahoma" w:eastAsia="Times New Roman" w:hAnsi="Tahoma" w:cs="Tahoma"/>
          <w:sz w:val="19"/>
          <w:szCs w:val="19"/>
        </w:rPr>
        <w:br/>
        <w:t>Délka sekce: 1 000 m</w:t>
      </w:r>
      <w:r>
        <w:rPr>
          <w:rFonts w:ascii="Tahoma" w:eastAsia="Times New Roman" w:hAnsi="Tahoma" w:cs="Tahoma"/>
          <w:sz w:val="19"/>
          <w:szCs w:val="19"/>
        </w:rPr>
        <w:br/>
        <w:t xml:space="preserve">Činitel prostředí: Městské (výška budov 10 až 20 m) </w:t>
      </w:r>
    </w:p>
    <w:p w:rsidR="00000000" w:rsidRDefault="00494312">
      <w:pPr>
        <w:pStyle w:val="Nadpis3"/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LPZ</w:t>
      </w:r>
    </w:p>
    <w:p w:rsidR="00000000" w:rsidRDefault="00494312">
      <w:pPr>
        <w:spacing w:after="240"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LPS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A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B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C</w:t>
      </w:r>
      <w:r>
        <w:rPr>
          <w:rFonts w:ascii="Tahoma" w:eastAsia="Times New Roman" w:hAnsi="Tahoma" w:cs="Tahoma"/>
          <w:sz w:val="19"/>
          <w:szCs w:val="19"/>
        </w:rPr>
        <w:t xml:space="preserve">): LPS III 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Fonts w:ascii="Tahoma" w:eastAsia="Times New Roman" w:hAnsi="Tahoma" w:cs="Tahoma"/>
          <w:sz w:val="19"/>
          <w:szCs w:val="19"/>
        </w:rPr>
        <w:t xml:space="preserve">SPD na vstupu: LPL III </w:t>
      </w:r>
      <w:r>
        <w:rPr>
          <w:rFonts w:ascii="Tahoma" w:eastAsia="Times New Roman" w:hAnsi="Tahoma" w:cs="Tahoma"/>
          <w:sz w:val="19"/>
          <w:szCs w:val="19"/>
        </w:rPr>
        <w:br/>
        <w:t>Pro vnitřní ochranu je navržena ochrana SPD v souladu s ČSN EN 62 305 a ČSN EN 61643-11 výrobce Hakel spol. s r.o.</w:t>
      </w:r>
      <w:r>
        <w:rPr>
          <w:rFonts w:ascii="Tahoma" w:eastAsia="Times New Roman" w:hAnsi="Tahoma" w:cs="Tahoma"/>
          <w:sz w:val="19"/>
          <w:szCs w:val="19"/>
        </w:rPr>
        <w:br/>
        <w:t>Návrh konkrétních přístrojů v závislosti na typu sítě:</w:t>
      </w:r>
      <w:r>
        <w:rPr>
          <w:rFonts w:ascii="Tahoma" w:eastAsia="Times New Roman" w:hAnsi="Tahoma" w:cs="Tahoma"/>
          <w:sz w:val="19"/>
          <w:szCs w:val="19"/>
        </w:rPr>
        <w:br/>
        <w:t xml:space="preserve">3-FÁZOVÁ TN-C: SPC12,5/3+0, PIVM12,5-275/3+0 </w:t>
      </w:r>
      <w:proofErr w:type="spellStart"/>
      <w:r>
        <w:rPr>
          <w:rFonts w:ascii="Tahoma" w:eastAsia="Times New Roman" w:hAnsi="Tahoma" w:cs="Tahoma"/>
          <w:sz w:val="19"/>
          <w:szCs w:val="19"/>
        </w:rPr>
        <w:t>Vseries</w:t>
      </w:r>
      <w:proofErr w:type="spellEnd"/>
      <w:r>
        <w:rPr>
          <w:rFonts w:ascii="Tahoma" w:eastAsia="Times New Roman" w:hAnsi="Tahoma" w:cs="Tahoma"/>
          <w:sz w:val="19"/>
          <w:szCs w:val="19"/>
        </w:rPr>
        <w:br/>
        <w:t xml:space="preserve">3-FÁZOVÁ </w:t>
      </w:r>
      <w:r>
        <w:rPr>
          <w:rFonts w:ascii="Tahoma" w:eastAsia="Times New Roman" w:hAnsi="Tahoma" w:cs="Tahoma"/>
          <w:sz w:val="19"/>
          <w:szCs w:val="19"/>
        </w:rPr>
        <w:t xml:space="preserve">TN-C: SPC12,5/3+1, PIVM12,5-275/3+1 </w:t>
      </w:r>
      <w:proofErr w:type="spellStart"/>
      <w:r>
        <w:rPr>
          <w:rFonts w:ascii="Tahoma" w:eastAsia="Times New Roman" w:hAnsi="Tahoma" w:cs="Tahoma"/>
          <w:sz w:val="19"/>
          <w:szCs w:val="19"/>
        </w:rPr>
        <w:t>Vseries</w:t>
      </w:r>
      <w:proofErr w:type="spellEnd"/>
    </w:p>
    <w:p w:rsidR="00000000" w:rsidRDefault="00494312">
      <w:pPr>
        <w:pStyle w:val="Nadpis3"/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Zóny</w:t>
      </w:r>
    </w:p>
    <w:p w:rsidR="00000000" w:rsidRDefault="00494312">
      <w:pPr>
        <w:pStyle w:val="Nadpis4"/>
        <w:spacing w:line="480" w:lineRule="atLeast"/>
        <w:divId w:val="1367488165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Vnější</w:t>
      </w:r>
    </w:p>
    <w:p w:rsidR="00000000" w:rsidRDefault="00494312">
      <w:pPr>
        <w:spacing w:line="480" w:lineRule="atLeast"/>
        <w:divId w:val="1845853061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Riziko požáru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B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V</w:t>
      </w:r>
      <w:r>
        <w:rPr>
          <w:rFonts w:ascii="Tahoma" w:eastAsia="Times New Roman" w:hAnsi="Tahoma" w:cs="Tahoma"/>
          <w:sz w:val="19"/>
          <w:szCs w:val="19"/>
        </w:rPr>
        <w:t>): Vysoké (stavba nebo střecha postavená z hořlavých materiálů nebo měrné požární zatížení &gt; 800 MJ/m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t xml:space="preserve"> ) </w:t>
      </w:r>
      <w:r>
        <w:rPr>
          <w:rFonts w:ascii="Tahoma" w:eastAsia="Times New Roman" w:hAnsi="Tahoma" w:cs="Tahoma"/>
          <w:sz w:val="19"/>
          <w:szCs w:val="19"/>
        </w:rPr>
        <w:br/>
        <w:t>Druh zvláštního rizika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B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V</w:t>
      </w:r>
      <w:r>
        <w:rPr>
          <w:rFonts w:ascii="Tahoma" w:eastAsia="Times New Roman" w:hAnsi="Tahoma" w:cs="Tahoma"/>
          <w:sz w:val="19"/>
          <w:szCs w:val="19"/>
        </w:rPr>
        <w:t>): Nízká úroveň panik</w:t>
      </w:r>
      <w:r>
        <w:rPr>
          <w:rFonts w:ascii="Tahoma" w:eastAsia="Times New Roman" w:hAnsi="Tahoma" w:cs="Tahoma"/>
          <w:sz w:val="19"/>
          <w:szCs w:val="19"/>
        </w:rPr>
        <w:t xml:space="preserve">y </w:t>
      </w:r>
      <w:r>
        <w:rPr>
          <w:rFonts w:ascii="Tahoma" w:eastAsia="Times New Roman" w:hAnsi="Tahoma" w:cs="Tahoma"/>
          <w:sz w:val="19"/>
          <w:szCs w:val="19"/>
        </w:rPr>
        <w:br/>
        <w:t>Typ podlahy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A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U</w:t>
      </w:r>
      <w:r>
        <w:rPr>
          <w:rFonts w:ascii="Tahoma" w:eastAsia="Times New Roman" w:hAnsi="Tahoma" w:cs="Tahoma"/>
          <w:sz w:val="19"/>
          <w:szCs w:val="19"/>
        </w:rPr>
        <w:t xml:space="preserve">): Dotykový odpor &lt;= 1 </w:t>
      </w:r>
      <w:proofErr w:type="spellStart"/>
      <w:r>
        <w:rPr>
          <w:rFonts w:ascii="Tahoma" w:eastAsia="Times New Roman" w:hAnsi="Tahoma" w:cs="Tahoma"/>
          <w:sz w:val="19"/>
          <w:szCs w:val="19"/>
        </w:rPr>
        <w:t>kOhm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(Zemědělská, betonová) </w:t>
      </w:r>
    </w:p>
    <w:p w:rsidR="00000000" w:rsidRDefault="00494312">
      <w:pPr>
        <w:pStyle w:val="Nadpis4"/>
        <w:spacing w:line="480" w:lineRule="atLeast"/>
        <w:divId w:val="456218297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Vnitřní</w:t>
      </w:r>
    </w:p>
    <w:p w:rsidR="00000000" w:rsidRDefault="00494312">
      <w:pPr>
        <w:spacing w:line="480" w:lineRule="atLeast"/>
        <w:divId w:val="205533395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Riziko požáru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B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V</w:t>
      </w:r>
      <w:r>
        <w:rPr>
          <w:rFonts w:ascii="Tahoma" w:eastAsia="Times New Roman" w:hAnsi="Tahoma" w:cs="Tahoma"/>
          <w:sz w:val="19"/>
          <w:szCs w:val="19"/>
        </w:rPr>
        <w:t>): Obvyklé (400 MJ/m2 &lt; měrné požární zatížení &lt; 800 MJ/m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t xml:space="preserve"> ) </w:t>
      </w:r>
      <w:r>
        <w:rPr>
          <w:rFonts w:ascii="Tahoma" w:eastAsia="Times New Roman" w:hAnsi="Tahoma" w:cs="Tahoma"/>
          <w:sz w:val="19"/>
          <w:szCs w:val="19"/>
        </w:rPr>
        <w:br/>
        <w:t xml:space="preserve">Opatření </w:t>
      </w:r>
      <w:r>
        <w:rPr>
          <w:rFonts w:ascii="Tahoma" w:eastAsia="Times New Roman" w:hAnsi="Tahoma" w:cs="Tahoma"/>
          <w:sz w:val="19"/>
          <w:szCs w:val="19"/>
        </w:rPr>
        <w:t>ke zmenšení následků požáru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B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V</w:t>
      </w:r>
      <w:r>
        <w:rPr>
          <w:rFonts w:ascii="Tahoma" w:eastAsia="Times New Roman" w:hAnsi="Tahoma" w:cs="Tahoma"/>
          <w:sz w:val="19"/>
          <w:szCs w:val="19"/>
        </w:rPr>
        <w:t>):</w:t>
      </w:r>
    </w:p>
    <w:p w:rsidR="00000000" w:rsidRDefault="00494312">
      <w:pPr>
        <w:spacing w:line="480" w:lineRule="atLeast"/>
        <w:divId w:val="2119831093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Jedno z následujících: hasicí přístroje, pevná ručně ovládaná hasicí instalace,</w:t>
      </w:r>
      <w:r w:rsidR="00D13EEE">
        <w:rPr>
          <w:rFonts w:ascii="Tahoma" w:eastAsia="Times New Roman" w:hAnsi="Tahoma" w:cs="Tahoma"/>
          <w:sz w:val="19"/>
          <w:szCs w:val="19"/>
        </w:rPr>
        <w:t xml:space="preserve"> </w:t>
      </w:r>
      <w:r>
        <w:rPr>
          <w:rFonts w:ascii="Tahoma" w:eastAsia="Times New Roman" w:hAnsi="Tahoma" w:cs="Tahoma"/>
          <w:sz w:val="19"/>
          <w:szCs w:val="19"/>
        </w:rPr>
        <w:t>ruční poplachové instalace, hydranty, ohnivzdorné úseky, chráněné únikové cesty</w:t>
      </w:r>
    </w:p>
    <w:p w:rsidR="00000000" w:rsidRDefault="00494312">
      <w:pPr>
        <w:spacing w:line="480" w:lineRule="atLeast"/>
        <w:divId w:val="205533395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Druh zvláštního rizika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B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V</w:t>
      </w:r>
      <w:r>
        <w:rPr>
          <w:rFonts w:ascii="Tahoma" w:eastAsia="Times New Roman" w:hAnsi="Tahoma" w:cs="Tahoma"/>
          <w:sz w:val="19"/>
          <w:szCs w:val="19"/>
        </w:rPr>
        <w:t>): Nízk</w:t>
      </w:r>
      <w:r>
        <w:rPr>
          <w:rFonts w:ascii="Tahoma" w:eastAsia="Times New Roman" w:hAnsi="Tahoma" w:cs="Tahoma"/>
          <w:sz w:val="19"/>
          <w:szCs w:val="19"/>
        </w:rPr>
        <w:t xml:space="preserve">á úroveň paniky </w:t>
      </w:r>
      <w:r>
        <w:rPr>
          <w:rFonts w:ascii="Tahoma" w:eastAsia="Times New Roman" w:hAnsi="Tahoma" w:cs="Tahoma"/>
          <w:sz w:val="19"/>
          <w:szCs w:val="19"/>
        </w:rPr>
        <w:br/>
      </w:r>
      <w:proofErr w:type="spellStart"/>
      <w:r>
        <w:rPr>
          <w:rFonts w:ascii="Tahoma" w:eastAsia="Times New Roman" w:hAnsi="Tahoma" w:cs="Tahoma"/>
          <w:sz w:val="19"/>
          <w:szCs w:val="19"/>
        </w:rPr>
        <w:t>Ochrannná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opatření proti úrazu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A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U</w:t>
      </w:r>
      <w:r>
        <w:rPr>
          <w:rFonts w:ascii="Tahoma" w:eastAsia="Times New Roman" w:hAnsi="Tahoma" w:cs="Tahoma"/>
          <w:sz w:val="19"/>
          <w:szCs w:val="19"/>
        </w:rPr>
        <w:t>):</w:t>
      </w:r>
    </w:p>
    <w:p w:rsidR="00000000" w:rsidRDefault="00494312">
      <w:pPr>
        <w:spacing w:line="480" w:lineRule="atLeast"/>
        <w:divId w:val="487481271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Varovné nápisy</w:t>
      </w:r>
      <w:r>
        <w:rPr>
          <w:rFonts w:ascii="Tahoma" w:eastAsia="Times New Roman" w:hAnsi="Tahoma" w:cs="Tahoma"/>
          <w:sz w:val="19"/>
          <w:szCs w:val="19"/>
        </w:rPr>
        <w:br/>
        <w:t>Elektrická izolace</w:t>
      </w:r>
    </w:p>
    <w:p w:rsidR="00000000" w:rsidRDefault="00494312">
      <w:pPr>
        <w:spacing w:line="480" w:lineRule="atLeast"/>
        <w:divId w:val="205533395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Typ podlahy (ovlivňuje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A</w:t>
      </w:r>
      <w:r>
        <w:rPr>
          <w:rFonts w:ascii="Tahoma" w:eastAsia="Times New Roman" w:hAnsi="Tahoma" w:cs="Tahoma"/>
          <w:sz w:val="19"/>
          <w:szCs w:val="19"/>
        </w:rPr>
        <w:t>, R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U</w:t>
      </w:r>
      <w:r>
        <w:rPr>
          <w:rFonts w:ascii="Tahoma" w:eastAsia="Times New Roman" w:hAnsi="Tahoma" w:cs="Tahoma"/>
          <w:sz w:val="19"/>
          <w:szCs w:val="19"/>
        </w:rPr>
        <w:t xml:space="preserve">): Dotykový odpor 1-10 </w:t>
      </w:r>
      <w:proofErr w:type="spellStart"/>
      <w:r>
        <w:rPr>
          <w:rFonts w:ascii="Tahoma" w:eastAsia="Times New Roman" w:hAnsi="Tahoma" w:cs="Tahoma"/>
          <w:sz w:val="19"/>
          <w:szCs w:val="19"/>
        </w:rPr>
        <w:t>kOhm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(Mramorová, keramická) </w:t>
      </w:r>
    </w:p>
    <w:p w:rsidR="00000000" w:rsidRDefault="00494312">
      <w:pPr>
        <w:pStyle w:val="Nadpis4"/>
        <w:spacing w:line="480" w:lineRule="atLeast"/>
        <w:divId w:val="625744723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LPZ 0/1</w:t>
      </w:r>
    </w:p>
    <w:p w:rsidR="00000000" w:rsidRDefault="00494312">
      <w:pPr>
        <w:pStyle w:val="Nadpis4"/>
        <w:spacing w:line="480" w:lineRule="atLeast"/>
        <w:divId w:val="548760757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Z</w:t>
      </w:r>
      <w:r>
        <w:rPr>
          <w:rFonts w:ascii="Tahoma" w:eastAsia="Times New Roman" w:hAnsi="Tahoma" w:cs="Tahoma"/>
        </w:rPr>
        <w:t>ařízení [Vedení [S]]</w:t>
      </w:r>
    </w:p>
    <w:p w:rsidR="00000000" w:rsidRDefault="00494312">
      <w:pPr>
        <w:spacing w:after="240" w:line="480" w:lineRule="atLeast"/>
        <w:divId w:val="934630768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Obsahují pouze zařízení s vyhovující odolností a hladinou výdržných napětí uvedenou v příslušných předmětových normách</w:t>
      </w:r>
      <w:r>
        <w:rPr>
          <w:rFonts w:ascii="Tahoma" w:eastAsia="Times New Roman" w:hAnsi="Tahoma" w:cs="Tahoma"/>
          <w:sz w:val="19"/>
          <w:szCs w:val="19"/>
        </w:rPr>
        <w:br/>
        <w:t xml:space="preserve">Impulsním výdržném </w:t>
      </w:r>
      <w:proofErr w:type="gramStart"/>
      <w:r>
        <w:rPr>
          <w:rFonts w:ascii="Tahoma" w:eastAsia="Times New Roman" w:hAnsi="Tahoma" w:cs="Tahoma"/>
          <w:sz w:val="19"/>
          <w:szCs w:val="19"/>
        </w:rPr>
        <w:t>napětí</w:t>
      </w:r>
      <w:proofErr w:type="gramEnd"/>
      <w:r>
        <w:rPr>
          <w:rFonts w:ascii="Tahoma" w:eastAsia="Times New Roman" w:hAnsi="Tahoma" w:cs="Tahoma"/>
          <w:sz w:val="19"/>
          <w:szCs w:val="19"/>
        </w:rPr>
        <w:t xml:space="preserve"> </w:t>
      </w:r>
      <w:proofErr w:type="spellStart"/>
      <w:r>
        <w:rPr>
          <w:rFonts w:ascii="Tahoma" w:eastAsia="Times New Roman" w:hAnsi="Tahoma" w:cs="Tahoma"/>
          <w:sz w:val="19"/>
          <w:szCs w:val="19"/>
        </w:rPr>
        <w:t>U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w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: 1,5 </w:t>
      </w:r>
      <w:proofErr w:type="spellStart"/>
      <w:r>
        <w:rPr>
          <w:rFonts w:ascii="Tahoma" w:eastAsia="Times New Roman" w:hAnsi="Tahoma" w:cs="Tahoma"/>
          <w:sz w:val="19"/>
          <w:szCs w:val="19"/>
        </w:rPr>
        <w:t>Uw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v </w:t>
      </w:r>
      <w:proofErr w:type="spellStart"/>
      <w:r>
        <w:rPr>
          <w:rFonts w:ascii="Tahoma" w:eastAsia="Times New Roman" w:hAnsi="Tahoma" w:cs="Tahoma"/>
          <w:sz w:val="19"/>
          <w:szCs w:val="19"/>
        </w:rPr>
        <w:t>kV</w:t>
      </w:r>
      <w:proofErr w:type="spellEnd"/>
      <w:r>
        <w:rPr>
          <w:rFonts w:ascii="Tahoma" w:eastAsia="Times New Roman" w:hAnsi="Tahoma" w:cs="Tahoma"/>
          <w:sz w:val="19"/>
          <w:szCs w:val="19"/>
        </w:rPr>
        <w:br/>
        <w:t>Trasování vedení: Nestíněný kabel - žádné opatření při trasování pro vylou</w:t>
      </w:r>
      <w:r>
        <w:rPr>
          <w:rFonts w:ascii="Tahoma" w:eastAsia="Times New Roman" w:hAnsi="Tahoma" w:cs="Tahoma"/>
          <w:sz w:val="19"/>
          <w:szCs w:val="19"/>
        </w:rPr>
        <w:t xml:space="preserve">čení velkých smyček (plocha řádu 50 </w:t>
      </w:r>
      <w:proofErr w:type="gramStart"/>
      <w:r>
        <w:rPr>
          <w:rFonts w:ascii="Tahoma" w:eastAsia="Times New Roman" w:hAnsi="Tahoma" w:cs="Tahoma"/>
          <w:sz w:val="19"/>
          <w:szCs w:val="19"/>
        </w:rPr>
        <w:t>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t xml:space="preserve"> ) </w:t>
      </w:r>
      <w:r>
        <w:rPr>
          <w:rFonts w:ascii="Tahoma" w:eastAsia="Times New Roman" w:hAnsi="Tahoma" w:cs="Tahoma"/>
          <w:sz w:val="19"/>
          <w:szCs w:val="19"/>
        </w:rPr>
        <w:br/>
        <w:t>Oddělovací</w:t>
      </w:r>
      <w:proofErr w:type="gramEnd"/>
      <w:r>
        <w:rPr>
          <w:rFonts w:ascii="Tahoma" w:eastAsia="Times New Roman" w:hAnsi="Tahoma" w:cs="Tahoma"/>
          <w:sz w:val="19"/>
          <w:szCs w:val="19"/>
        </w:rPr>
        <w:t xml:space="preserve"> rozhraní podle EN 62305-4</w:t>
      </w:r>
      <w:r>
        <w:rPr>
          <w:rFonts w:ascii="Tahoma" w:eastAsia="Times New Roman" w:hAnsi="Tahoma" w:cs="Tahoma"/>
          <w:sz w:val="19"/>
          <w:szCs w:val="19"/>
        </w:rPr>
        <w:br/>
        <w:t>Typ vnějších sítí: Nestíněný kabel</w:t>
      </w:r>
      <w:r>
        <w:rPr>
          <w:rFonts w:ascii="Tahoma" w:eastAsia="Times New Roman" w:hAnsi="Tahoma" w:cs="Tahoma"/>
          <w:sz w:val="19"/>
          <w:szCs w:val="19"/>
        </w:rPr>
        <w:br/>
        <w:t xml:space="preserve">Koordinovaná ochrana SPD: Odpovídající LPL III </w:t>
      </w:r>
      <w:r>
        <w:rPr>
          <w:rFonts w:ascii="Tahoma" w:eastAsia="Times New Roman" w:hAnsi="Tahoma" w:cs="Tahoma"/>
          <w:sz w:val="19"/>
          <w:szCs w:val="19"/>
        </w:rPr>
        <w:br/>
        <w:t>Pro vnitřní ochranu je navržena ochrana SPD v souladu s ČSN EN 62 305 a ČSN EN 61643-11 výrobc</w:t>
      </w:r>
      <w:r>
        <w:rPr>
          <w:rFonts w:ascii="Tahoma" w:eastAsia="Times New Roman" w:hAnsi="Tahoma" w:cs="Tahoma"/>
          <w:sz w:val="19"/>
          <w:szCs w:val="19"/>
        </w:rPr>
        <w:t>e Hakel spol. s r.o.</w:t>
      </w:r>
      <w:r>
        <w:rPr>
          <w:rFonts w:ascii="Tahoma" w:eastAsia="Times New Roman" w:hAnsi="Tahoma" w:cs="Tahoma"/>
          <w:sz w:val="19"/>
          <w:szCs w:val="19"/>
        </w:rPr>
        <w:br/>
        <w:t>Návrh konkrétních přístrojů v závislosti na typu sítě:</w:t>
      </w:r>
      <w:r>
        <w:rPr>
          <w:rFonts w:ascii="Tahoma" w:eastAsia="Times New Roman" w:hAnsi="Tahoma" w:cs="Tahoma"/>
          <w:sz w:val="19"/>
          <w:szCs w:val="19"/>
        </w:rPr>
        <w:br/>
        <w:t xml:space="preserve">3-FÁZOVÁ TN-C: SPC12,5/3+0, PIVM12,5-275/3+0 </w:t>
      </w:r>
      <w:proofErr w:type="spellStart"/>
      <w:r>
        <w:rPr>
          <w:rFonts w:ascii="Tahoma" w:eastAsia="Times New Roman" w:hAnsi="Tahoma" w:cs="Tahoma"/>
          <w:sz w:val="19"/>
          <w:szCs w:val="19"/>
        </w:rPr>
        <w:t>Vseries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+ Koordinovaný systém SPD vyhovující EN 62305-4</w:t>
      </w:r>
      <w:r>
        <w:rPr>
          <w:rFonts w:ascii="Tahoma" w:eastAsia="Times New Roman" w:hAnsi="Tahoma" w:cs="Tahoma"/>
          <w:sz w:val="19"/>
          <w:szCs w:val="19"/>
        </w:rPr>
        <w:br/>
        <w:t xml:space="preserve">3-FÁZOVÁ TN-C: SPC12,5/3+1, PIVM12,5-275/3+1 </w:t>
      </w:r>
      <w:proofErr w:type="spellStart"/>
      <w:r>
        <w:rPr>
          <w:rFonts w:ascii="Tahoma" w:eastAsia="Times New Roman" w:hAnsi="Tahoma" w:cs="Tahoma"/>
          <w:sz w:val="19"/>
          <w:szCs w:val="19"/>
        </w:rPr>
        <w:t>Vseries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+ Koordinovaný systém SPD </w:t>
      </w:r>
      <w:r>
        <w:rPr>
          <w:rFonts w:ascii="Tahoma" w:eastAsia="Times New Roman" w:hAnsi="Tahoma" w:cs="Tahoma"/>
          <w:sz w:val="19"/>
          <w:szCs w:val="19"/>
        </w:rPr>
        <w:t>vyhovující EN 62305-4</w:t>
      </w:r>
    </w:p>
    <w:p w:rsidR="00000000" w:rsidRDefault="00494312">
      <w:pPr>
        <w:pStyle w:val="Nadpis4"/>
        <w:spacing w:line="480" w:lineRule="atLeast"/>
        <w:divId w:val="548760757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Zařízení [Vedení [T]]</w:t>
      </w:r>
    </w:p>
    <w:p w:rsidR="00000000" w:rsidRDefault="00494312">
      <w:pPr>
        <w:spacing w:after="240" w:line="480" w:lineRule="atLeast"/>
        <w:divId w:val="1236086691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Obsahují pouze zařízení s vyhovující odolností a hladinou výdržných napětí uvedenou v příslušných předmětových normách</w:t>
      </w:r>
      <w:r>
        <w:rPr>
          <w:rFonts w:ascii="Tahoma" w:eastAsia="Times New Roman" w:hAnsi="Tahoma" w:cs="Tahoma"/>
          <w:sz w:val="19"/>
          <w:szCs w:val="19"/>
        </w:rPr>
        <w:br/>
        <w:t xml:space="preserve">Impulsním výdržném </w:t>
      </w:r>
      <w:proofErr w:type="gramStart"/>
      <w:r>
        <w:rPr>
          <w:rFonts w:ascii="Tahoma" w:eastAsia="Times New Roman" w:hAnsi="Tahoma" w:cs="Tahoma"/>
          <w:sz w:val="19"/>
          <w:szCs w:val="19"/>
        </w:rPr>
        <w:t>napětí</w:t>
      </w:r>
      <w:proofErr w:type="gramEnd"/>
      <w:r>
        <w:rPr>
          <w:rFonts w:ascii="Tahoma" w:eastAsia="Times New Roman" w:hAnsi="Tahoma" w:cs="Tahoma"/>
          <w:sz w:val="19"/>
          <w:szCs w:val="19"/>
        </w:rPr>
        <w:t xml:space="preserve"> </w:t>
      </w:r>
      <w:proofErr w:type="spellStart"/>
      <w:r>
        <w:rPr>
          <w:rFonts w:ascii="Tahoma" w:eastAsia="Times New Roman" w:hAnsi="Tahoma" w:cs="Tahoma"/>
          <w:sz w:val="19"/>
          <w:szCs w:val="19"/>
        </w:rPr>
        <w:t>U</w:t>
      </w:r>
      <w:r>
        <w:rPr>
          <w:rFonts w:ascii="Tahoma" w:eastAsia="Times New Roman" w:hAnsi="Tahoma" w:cs="Tahoma"/>
          <w:sz w:val="19"/>
          <w:szCs w:val="19"/>
          <w:vertAlign w:val="subscript"/>
        </w:rPr>
        <w:t>w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: 1,5 </w:t>
      </w:r>
      <w:proofErr w:type="spellStart"/>
      <w:r>
        <w:rPr>
          <w:rFonts w:ascii="Tahoma" w:eastAsia="Times New Roman" w:hAnsi="Tahoma" w:cs="Tahoma"/>
          <w:sz w:val="19"/>
          <w:szCs w:val="19"/>
        </w:rPr>
        <w:t>Uw</w:t>
      </w:r>
      <w:proofErr w:type="spellEnd"/>
      <w:r>
        <w:rPr>
          <w:rFonts w:ascii="Tahoma" w:eastAsia="Times New Roman" w:hAnsi="Tahoma" w:cs="Tahoma"/>
          <w:sz w:val="19"/>
          <w:szCs w:val="19"/>
        </w:rPr>
        <w:t xml:space="preserve"> v </w:t>
      </w:r>
      <w:proofErr w:type="spellStart"/>
      <w:r>
        <w:rPr>
          <w:rFonts w:ascii="Tahoma" w:eastAsia="Times New Roman" w:hAnsi="Tahoma" w:cs="Tahoma"/>
          <w:sz w:val="19"/>
          <w:szCs w:val="19"/>
        </w:rPr>
        <w:t>kV</w:t>
      </w:r>
      <w:proofErr w:type="spellEnd"/>
      <w:r>
        <w:rPr>
          <w:rFonts w:ascii="Tahoma" w:eastAsia="Times New Roman" w:hAnsi="Tahoma" w:cs="Tahoma"/>
          <w:sz w:val="19"/>
          <w:szCs w:val="19"/>
        </w:rPr>
        <w:br/>
      </w:r>
      <w:r>
        <w:rPr>
          <w:rFonts w:ascii="Tahoma" w:eastAsia="Times New Roman" w:hAnsi="Tahoma" w:cs="Tahoma"/>
          <w:sz w:val="19"/>
          <w:szCs w:val="19"/>
        </w:rPr>
        <w:t xml:space="preserve">Trasování vedení: Nestíněný kabel - žádné opatření při trasování pro vyloučení velkých smyček (plocha řádu 50 </w:t>
      </w:r>
      <w:proofErr w:type="gramStart"/>
      <w:r>
        <w:rPr>
          <w:rFonts w:ascii="Tahoma" w:eastAsia="Times New Roman" w:hAnsi="Tahoma" w:cs="Tahoma"/>
          <w:sz w:val="19"/>
          <w:szCs w:val="19"/>
        </w:rPr>
        <w:t>m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2</w:t>
      </w:r>
      <w:r>
        <w:rPr>
          <w:rFonts w:ascii="Tahoma" w:eastAsia="Times New Roman" w:hAnsi="Tahoma" w:cs="Tahoma"/>
          <w:sz w:val="19"/>
          <w:szCs w:val="19"/>
        </w:rPr>
        <w:t xml:space="preserve"> ) </w:t>
      </w:r>
      <w:r>
        <w:rPr>
          <w:rFonts w:ascii="Tahoma" w:eastAsia="Times New Roman" w:hAnsi="Tahoma" w:cs="Tahoma"/>
          <w:sz w:val="19"/>
          <w:szCs w:val="19"/>
        </w:rPr>
        <w:br/>
        <w:t>Oddělovací</w:t>
      </w:r>
      <w:proofErr w:type="gramEnd"/>
      <w:r>
        <w:rPr>
          <w:rFonts w:ascii="Tahoma" w:eastAsia="Times New Roman" w:hAnsi="Tahoma" w:cs="Tahoma"/>
          <w:sz w:val="19"/>
          <w:szCs w:val="19"/>
        </w:rPr>
        <w:t xml:space="preserve"> rozhraní podle EN 62305-4</w:t>
      </w:r>
      <w:r>
        <w:rPr>
          <w:rFonts w:ascii="Tahoma" w:eastAsia="Times New Roman" w:hAnsi="Tahoma" w:cs="Tahoma"/>
          <w:sz w:val="19"/>
          <w:szCs w:val="19"/>
        </w:rPr>
        <w:br/>
        <w:t>Typ vnějších sítí: Nestíněný kabel</w:t>
      </w:r>
      <w:r>
        <w:rPr>
          <w:rFonts w:ascii="Tahoma" w:eastAsia="Times New Roman" w:hAnsi="Tahoma" w:cs="Tahoma"/>
          <w:sz w:val="19"/>
          <w:szCs w:val="19"/>
        </w:rPr>
        <w:br/>
        <w:t xml:space="preserve">Koordinovaná ochrana SPD: Odpovídající LPL III </w:t>
      </w:r>
      <w:r>
        <w:rPr>
          <w:rFonts w:ascii="Tahoma" w:eastAsia="Times New Roman" w:hAnsi="Tahoma" w:cs="Tahoma"/>
          <w:sz w:val="19"/>
          <w:szCs w:val="19"/>
        </w:rPr>
        <w:br/>
        <w:t>+ Koordinovaný systé</w:t>
      </w:r>
      <w:r>
        <w:rPr>
          <w:rFonts w:ascii="Tahoma" w:eastAsia="Times New Roman" w:hAnsi="Tahoma" w:cs="Tahoma"/>
          <w:sz w:val="19"/>
          <w:szCs w:val="19"/>
        </w:rPr>
        <w:t>m SPD vyhovující EN 62305-4</w:t>
      </w:r>
      <w:r>
        <w:rPr>
          <w:rFonts w:ascii="Tahoma" w:eastAsia="Times New Roman" w:hAnsi="Tahoma" w:cs="Tahoma"/>
          <w:sz w:val="19"/>
          <w:szCs w:val="19"/>
        </w:rPr>
        <w:br/>
      </w:r>
    </w:p>
    <w:p w:rsidR="00000000" w:rsidRDefault="00494312">
      <w:pPr>
        <w:pStyle w:val="Nadpis4"/>
        <w:spacing w:line="480" w:lineRule="atLeast"/>
        <w:divId w:val="1610700503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Ztráty</w:t>
      </w:r>
    </w:p>
    <w:p w:rsidR="00000000" w:rsidRDefault="00494312">
      <w:pPr>
        <w:spacing w:line="480" w:lineRule="atLeast"/>
        <w:divId w:val="697781513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Ztráty na lidských životech L1 - Úraz živých bytostí elektrickým proudem D1: 0,0000093333</w:t>
      </w:r>
      <w:r>
        <w:rPr>
          <w:rFonts w:ascii="Tahoma" w:eastAsia="Times New Roman" w:hAnsi="Tahoma" w:cs="Tahoma"/>
          <w:sz w:val="19"/>
          <w:szCs w:val="19"/>
        </w:rPr>
        <w:br/>
        <w:t>Ztráty na lidských životech L1 - Hmotná škoda D2: 0,0009333333</w:t>
      </w:r>
      <w:r>
        <w:rPr>
          <w:rFonts w:ascii="Tahoma" w:eastAsia="Times New Roman" w:hAnsi="Tahoma" w:cs="Tahoma"/>
          <w:sz w:val="19"/>
          <w:szCs w:val="19"/>
        </w:rPr>
        <w:br/>
        <w:t>Ztráty na lidských životech L1 - Porucha elektrických a elektroni</w:t>
      </w:r>
      <w:r>
        <w:rPr>
          <w:rFonts w:ascii="Tahoma" w:eastAsia="Times New Roman" w:hAnsi="Tahoma" w:cs="Tahoma"/>
          <w:sz w:val="19"/>
          <w:szCs w:val="19"/>
        </w:rPr>
        <w:t>ckých systémů D3: 0,0009333333</w:t>
      </w:r>
      <w:r>
        <w:rPr>
          <w:rFonts w:ascii="Tahoma" w:eastAsia="Times New Roman" w:hAnsi="Tahoma" w:cs="Tahoma"/>
          <w:sz w:val="19"/>
          <w:szCs w:val="19"/>
        </w:rPr>
        <w:br/>
        <w:t>Ztráty na veřejných službách L2 - Hmotná škoda D2: 0</w:t>
      </w:r>
      <w:r>
        <w:rPr>
          <w:rFonts w:ascii="Tahoma" w:eastAsia="Times New Roman" w:hAnsi="Tahoma" w:cs="Tahoma"/>
          <w:sz w:val="19"/>
          <w:szCs w:val="19"/>
        </w:rPr>
        <w:br/>
        <w:t>Ztráty na veřejných službách L2 - Porucha elektrických a elektronických systémů D3: 0</w:t>
      </w:r>
      <w:r>
        <w:rPr>
          <w:rFonts w:ascii="Tahoma" w:eastAsia="Times New Roman" w:hAnsi="Tahoma" w:cs="Tahoma"/>
          <w:sz w:val="19"/>
          <w:szCs w:val="19"/>
        </w:rPr>
        <w:br/>
        <w:t>Ztráty kulturního dědictví L3 - Hmotná škoda D2: 0</w:t>
      </w:r>
      <w:r>
        <w:rPr>
          <w:rFonts w:ascii="Tahoma" w:eastAsia="Times New Roman" w:hAnsi="Tahoma" w:cs="Tahoma"/>
          <w:sz w:val="19"/>
          <w:szCs w:val="19"/>
        </w:rPr>
        <w:br/>
        <w:t xml:space="preserve">Ekonomická ztráta L4 - Úraz živých </w:t>
      </w:r>
      <w:r>
        <w:rPr>
          <w:rFonts w:ascii="Tahoma" w:eastAsia="Times New Roman" w:hAnsi="Tahoma" w:cs="Tahoma"/>
          <w:sz w:val="19"/>
          <w:szCs w:val="19"/>
        </w:rPr>
        <w:t>bytostí elektrickým proudem D1: 0</w:t>
      </w:r>
      <w:r>
        <w:rPr>
          <w:rFonts w:ascii="Tahoma" w:eastAsia="Times New Roman" w:hAnsi="Tahoma" w:cs="Tahoma"/>
          <w:sz w:val="19"/>
          <w:szCs w:val="19"/>
        </w:rPr>
        <w:br/>
        <w:t>Ekonomická ztráta L4 - Hmotná škoda D2: 0,0025</w:t>
      </w:r>
      <w:r>
        <w:rPr>
          <w:rFonts w:ascii="Tahoma" w:eastAsia="Times New Roman" w:hAnsi="Tahoma" w:cs="Tahoma"/>
          <w:sz w:val="19"/>
          <w:szCs w:val="19"/>
        </w:rPr>
        <w:br/>
        <w:t>Ekonomická ztráta L4 - Porucha elektrických a elektronických systémů D3: 0,01</w:t>
      </w:r>
    </w:p>
    <w:p w:rsidR="00000000" w:rsidRDefault="00494312">
      <w:pPr>
        <w:pStyle w:val="Nadpis3"/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Ztráty</w:t>
      </w:r>
    </w:p>
    <w:p w:rsidR="00000000" w:rsidRDefault="00494312">
      <w:pPr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Očekávaný celkový počet osob ve stavbě a v její blízkosti: 30 osob</w:t>
      </w:r>
      <w:r>
        <w:rPr>
          <w:rFonts w:ascii="Tahoma" w:eastAsia="Times New Roman" w:hAnsi="Tahoma" w:cs="Tahoma"/>
          <w:sz w:val="19"/>
          <w:szCs w:val="19"/>
        </w:rPr>
        <w:br/>
        <w:t>Celkový počet neobslou</w:t>
      </w:r>
      <w:r>
        <w:rPr>
          <w:rFonts w:ascii="Tahoma" w:eastAsia="Times New Roman" w:hAnsi="Tahoma" w:cs="Tahoma"/>
          <w:sz w:val="19"/>
          <w:szCs w:val="19"/>
        </w:rPr>
        <w:t>žených uživatelů: 0 osob</w:t>
      </w:r>
      <w:r>
        <w:rPr>
          <w:rFonts w:ascii="Tahoma" w:eastAsia="Times New Roman" w:hAnsi="Tahoma" w:cs="Tahoma"/>
          <w:sz w:val="19"/>
          <w:szCs w:val="19"/>
        </w:rPr>
        <w:br/>
        <w:t>Celková pojistitelná hodnota stavby: 0 měna</w:t>
      </w:r>
      <w:r>
        <w:rPr>
          <w:rFonts w:ascii="Tahoma" w:eastAsia="Times New Roman" w:hAnsi="Tahoma" w:cs="Tahoma"/>
          <w:sz w:val="19"/>
          <w:szCs w:val="19"/>
        </w:rPr>
        <w:br/>
        <w:t>Celková hodnota stavby: 0 měna</w:t>
      </w:r>
    </w:p>
    <w:p w:rsidR="00000000" w:rsidRDefault="00494312">
      <w:pPr>
        <w:pStyle w:val="Nadpis3"/>
        <w:spacing w:line="480" w:lineRule="atLeast"/>
        <w:divId w:val="2107846430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Rizika</w:t>
      </w:r>
    </w:p>
    <w:p w:rsidR="00000000" w:rsidRDefault="00494312">
      <w:pPr>
        <w:spacing w:line="480" w:lineRule="atLeast"/>
        <w:divId w:val="1858739502"/>
        <w:rPr>
          <w:rFonts w:ascii="Tahoma" w:eastAsia="Times New Roman" w:hAnsi="Tahoma" w:cs="Tahoma"/>
          <w:sz w:val="19"/>
          <w:szCs w:val="19"/>
        </w:rPr>
      </w:pPr>
      <w:r>
        <w:rPr>
          <w:rStyle w:val="Siln"/>
          <w:rFonts w:ascii="Tahoma" w:eastAsia="Times New Roman" w:hAnsi="Tahoma" w:cs="Tahoma"/>
          <w:sz w:val="19"/>
          <w:szCs w:val="19"/>
        </w:rPr>
        <w:t>R1 * 10</w:t>
      </w:r>
      <w:r>
        <w:rPr>
          <w:rStyle w:val="Siln"/>
          <w:rFonts w:ascii="Tahoma" w:eastAsia="Times New Roman" w:hAnsi="Tahoma" w:cs="Tahoma"/>
          <w:sz w:val="19"/>
          <w:szCs w:val="19"/>
          <w:vertAlign w:val="superscript"/>
        </w:rPr>
        <w:t>-5</w:t>
      </w:r>
      <w:r>
        <w:rPr>
          <w:rStyle w:val="Siln"/>
          <w:rFonts w:ascii="Tahoma" w:eastAsia="Times New Roman" w:hAnsi="Tahoma" w:cs="Tahoma"/>
          <w:sz w:val="19"/>
          <w:szCs w:val="19"/>
        </w:rPr>
        <w:t xml:space="preserve"> = 0,1420456165 (vyhovuje)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Style w:val="Siln"/>
          <w:rFonts w:ascii="Tahoma" w:eastAsia="Times New Roman" w:hAnsi="Tahoma" w:cs="Tahoma"/>
          <w:sz w:val="19"/>
          <w:szCs w:val="19"/>
        </w:rPr>
        <w:t>R2 * 10</w:t>
      </w:r>
      <w:r>
        <w:rPr>
          <w:rStyle w:val="Siln"/>
          <w:rFonts w:ascii="Tahoma" w:eastAsia="Times New Roman" w:hAnsi="Tahoma" w:cs="Tahoma"/>
          <w:sz w:val="19"/>
          <w:szCs w:val="19"/>
          <w:vertAlign w:val="superscript"/>
        </w:rPr>
        <w:t>-3</w:t>
      </w:r>
      <w:r>
        <w:rPr>
          <w:rStyle w:val="Siln"/>
          <w:rFonts w:ascii="Tahoma" w:eastAsia="Times New Roman" w:hAnsi="Tahoma" w:cs="Tahoma"/>
          <w:sz w:val="19"/>
          <w:szCs w:val="19"/>
        </w:rPr>
        <w:t xml:space="preserve"> = 0 (vyhovuje)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Style w:val="Siln"/>
          <w:rFonts w:ascii="Tahoma" w:eastAsia="Times New Roman" w:hAnsi="Tahoma" w:cs="Tahoma"/>
          <w:sz w:val="19"/>
          <w:szCs w:val="19"/>
        </w:rPr>
        <w:t>R3 * 10</w:t>
      </w:r>
      <w:r>
        <w:rPr>
          <w:rStyle w:val="Siln"/>
          <w:rFonts w:ascii="Tahoma" w:eastAsia="Times New Roman" w:hAnsi="Tahoma" w:cs="Tahoma"/>
          <w:sz w:val="19"/>
          <w:szCs w:val="19"/>
          <w:vertAlign w:val="superscript"/>
        </w:rPr>
        <w:t>-4</w:t>
      </w:r>
      <w:r>
        <w:rPr>
          <w:rStyle w:val="Siln"/>
          <w:rFonts w:ascii="Tahoma" w:eastAsia="Times New Roman" w:hAnsi="Tahoma" w:cs="Tahoma"/>
          <w:sz w:val="19"/>
          <w:szCs w:val="19"/>
        </w:rPr>
        <w:t xml:space="preserve"> = 0 (vyhovuje)</w:t>
      </w:r>
      <w:r>
        <w:rPr>
          <w:rFonts w:ascii="Tahoma" w:eastAsia="Times New Roman" w:hAnsi="Tahoma" w:cs="Tahoma"/>
          <w:sz w:val="19"/>
          <w:szCs w:val="19"/>
        </w:rPr>
        <w:br/>
      </w:r>
      <w:r>
        <w:rPr>
          <w:rStyle w:val="Siln"/>
          <w:rFonts w:ascii="Tahoma" w:eastAsia="Times New Roman" w:hAnsi="Tahoma" w:cs="Tahoma"/>
          <w:sz w:val="19"/>
          <w:szCs w:val="19"/>
        </w:rPr>
        <w:t>R4 * 10</w:t>
      </w:r>
      <w:r>
        <w:rPr>
          <w:rStyle w:val="Siln"/>
          <w:rFonts w:ascii="Tahoma" w:eastAsia="Times New Roman" w:hAnsi="Tahoma" w:cs="Tahoma"/>
          <w:sz w:val="19"/>
          <w:szCs w:val="19"/>
          <w:vertAlign w:val="superscript"/>
        </w:rPr>
        <w:t>-3</w:t>
      </w:r>
      <w:r>
        <w:rPr>
          <w:rStyle w:val="Siln"/>
          <w:rFonts w:ascii="Tahoma" w:eastAsia="Times New Roman" w:hAnsi="Tahoma" w:cs="Tahoma"/>
          <w:sz w:val="19"/>
          <w:szCs w:val="19"/>
        </w:rPr>
        <w:t xml:space="preserve"> = 0,0037777714 </w:t>
      </w:r>
    </w:p>
    <w:p w:rsidR="00000000" w:rsidRDefault="00494312">
      <w:pPr>
        <w:pStyle w:val="Nadpis3"/>
        <w:spacing w:line="480" w:lineRule="atLeast"/>
        <w:divId w:val="1858739502"/>
        <w:rPr>
          <w:rFonts w:ascii="Tahoma" w:eastAsia="Times New Roman" w:hAnsi="Tahoma" w:cs="Tahoma"/>
          <w:sz w:val="19"/>
          <w:szCs w:val="19"/>
        </w:rPr>
      </w:pPr>
      <w:r>
        <w:rPr>
          <w:rFonts w:ascii="Tahoma" w:eastAsia="Times New Roman" w:hAnsi="Tahoma" w:cs="Tahoma"/>
          <w:sz w:val="19"/>
          <w:szCs w:val="19"/>
        </w:rPr>
        <w:t>R1 * 10</w:t>
      </w:r>
      <w:r>
        <w:rPr>
          <w:rFonts w:ascii="Tahoma" w:eastAsia="Times New Roman" w:hAnsi="Tahoma" w:cs="Tahoma"/>
          <w:sz w:val="19"/>
          <w:szCs w:val="19"/>
          <w:vertAlign w:val="superscript"/>
        </w:rPr>
        <w:t>-5</w:t>
      </w:r>
    </w:p>
    <w:tbl>
      <w:tblPr>
        <w:tblW w:w="5000" w:type="pct"/>
        <w:tblCellSpacing w:w="1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8"/>
        <w:gridCol w:w="2743"/>
        <w:gridCol w:w="2743"/>
        <w:gridCol w:w="2758"/>
      </w:tblGrid>
      <w:tr w:rsidR="00000000">
        <w:trPr>
          <w:divId w:val="1858739502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494312">
            <w:pPr>
              <w:spacing w:line="480" w:lineRule="atLeast"/>
              <w:jc w:val="center"/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494312">
            <w:pPr>
              <w:spacing w:line="480" w:lineRule="atLeast"/>
              <w:jc w:val="center"/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Vnější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494312">
            <w:pPr>
              <w:spacing w:line="480" w:lineRule="atLeast"/>
              <w:jc w:val="center"/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Vnitřní [LPZ 0/1]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494312">
            <w:pPr>
              <w:spacing w:line="480" w:lineRule="atLeast"/>
              <w:jc w:val="center"/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Stavba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0,0010074057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0,0000014104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0,0010088161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B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0,1410368004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0,1410368004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M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U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W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R</w:t>
            </w:r>
            <w:r>
              <w:rPr>
                <w:rFonts w:ascii="Tahoma" w:eastAsia="Times New Roman" w:hAnsi="Tahoma" w:cs="Tahoma"/>
                <w:sz w:val="19"/>
                <w:szCs w:val="19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</w:t>
            </w:r>
          </w:p>
        </w:tc>
      </w:tr>
      <w:tr w:rsidR="00000000">
        <w:trPr>
          <w:divId w:val="1858739502"/>
          <w:tblCellSpacing w:w="15" w:type="dxa"/>
        </w:trPr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R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0,0010074057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0,1410382108</w:t>
            </w:r>
          </w:p>
        </w:tc>
        <w:tc>
          <w:tcPr>
            <w:tcW w:w="0" w:type="auto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300" w:type="dxa"/>
            </w:tcMar>
            <w:vAlign w:val="center"/>
            <w:hideMark/>
          </w:tcPr>
          <w:p w:rsidR="00000000" w:rsidRDefault="00494312">
            <w:pPr>
              <w:spacing w:line="480" w:lineRule="atLeast"/>
              <w:rPr>
                <w:rFonts w:ascii="Tahoma" w:eastAsia="Times New Roman" w:hAnsi="Tahoma" w:cs="Tahoma"/>
                <w:sz w:val="19"/>
                <w:szCs w:val="19"/>
              </w:rPr>
            </w:pPr>
            <w:r>
              <w:rPr>
                <w:rStyle w:val="Siln"/>
                <w:rFonts w:ascii="Tahoma" w:eastAsia="Times New Roman" w:hAnsi="Tahoma" w:cs="Tahoma"/>
                <w:sz w:val="19"/>
                <w:szCs w:val="19"/>
              </w:rPr>
              <w:t>0,1420456165</w:t>
            </w:r>
          </w:p>
        </w:tc>
      </w:tr>
    </w:tbl>
    <w:p w:rsidR="00494312" w:rsidRDefault="00494312">
      <w:pPr>
        <w:divId w:val="1858739502"/>
        <w:rPr>
          <w:rFonts w:eastAsia="Times New Roman"/>
        </w:rPr>
      </w:pPr>
    </w:p>
    <w:sectPr w:rsidR="00494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08"/>
  <w:hyphenationZone w:val="425"/>
  <w:noPunctuationKerning/>
  <w:characterSpacingControl w:val="doNotCompress"/>
  <w:compat/>
  <w:rsids>
    <w:rsidRoot w:val="00D13EEE"/>
    <w:rsid w:val="00494312"/>
    <w:rsid w:val="00D13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pPr>
      <w:pBdr>
        <w:top w:val="single" w:sz="6" w:space="8" w:color="808080"/>
        <w:left w:val="single" w:sz="36" w:space="8" w:color="808080"/>
        <w:bottom w:val="single" w:sz="36" w:space="8" w:color="808080"/>
        <w:right w:val="single" w:sz="6" w:space="8" w:color="808080"/>
      </w:pBdr>
      <w:shd w:val="clear" w:color="auto" w:fill="EEEEEE"/>
      <w:spacing w:before="1200" w:after="100" w:afterAutospacing="1"/>
      <w:outlineLvl w:val="1"/>
    </w:pPr>
    <w:rPr>
      <w:b/>
      <w:bCs/>
      <w:caps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DDDDDD"/>
      <w:spacing w:before="100" w:beforeAutospacing="1" w:after="100" w:afterAutospacing="1"/>
      <w:outlineLvl w:val="2"/>
    </w:pPr>
    <w:rPr>
      <w:b/>
      <w:bCs/>
    </w:rPr>
  </w:style>
  <w:style w:type="paragraph" w:styleId="Nadpis4">
    <w:name w:val="heading 4"/>
    <w:basedOn w:val="Normln"/>
    <w:link w:val="Nadpis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padded">
    <w:name w:val="padded"/>
    <w:basedOn w:val="Normln"/>
    <w:pPr>
      <w:spacing w:before="100" w:beforeAutospacing="1" w:after="100" w:afterAutospacing="1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Pr>
      <w:rFonts w:ascii="Consolas" w:eastAsiaTheme="minorEastAsia" w:hAnsi="Consolas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Siln">
    <w:name w:val="Strong"/>
    <w:basedOn w:val="Standardnpsmoodstavce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2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48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2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5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8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0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0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87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769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hakelsoft p</dc:title>
  <dc:creator>Dan Andel</dc:creator>
  <cp:lastModifiedBy>Dan Andel</cp:lastModifiedBy>
  <cp:revision>2</cp:revision>
  <dcterms:created xsi:type="dcterms:W3CDTF">2016-12-09T13:38:00Z</dcterms:created>
  <dcterms:modified xsi:type="dcterms:W3CDTF">2016-12-09T13:38:00Z</dcterms:modified>
</cp:coreProperties>
</file>